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540DD" w14:textId="77777777" w:rsidR="002A39D9" w:rsidRPr="00CA5156" w:rsidRDefault="002A39D9" w:rsidP="00CA5156">
      <w:pPr>
        <w:spacing w:after="0" w:line="480" w:lineRule="auto"/>
        <w:jc w:val="center"/>
        <w:rPr>
          <w:rFonts w:ascii="Times New Roman" w:hAnsi="Times New Roman" w:cs="Times New Roman"/>
          <w:sz w:val="24"/>
          <w:szCs w:val="24"/>
        </w:rPr>
      </w:pPr>
    </w:p>
    <w:p w14:paraId="3A10C353" w14:textId="77777777" w:rsidR="000F0680" w:rsidRDefault="000F0680" w:rsidP="00CA5156">
      <w:pPr>
        <w:spacing w:after="0" w:line="480" w:lineRule="auto"/>
        <w:jc w:val="center"/>
        <w:rPr>
          <w:rFonts w:ascii="Times New Roman" w:hAnsi="Times New Roman" w:cs="Times New Roman"/>
          <w:sz w:val="24"/>
          <w:szCs w:val="24"/>
        </w:rPr>
      </w:pPr>
    </w:p>
    <w:p w14:paraId="270B27F4" w14:textId="77777777" w:rsidR="000F0680" w:rsidRDefault="000F0680" w:rsidP="00CA5156">
      <w:pPr>
        <w:spacing w:after="0" w:line="480" w:lineRule="auto"/>
        <w:jc w:val="center"/>
        <w:rPr>
          <w:rFonts w:ascii="Times New Roman" w:hAnsi="Times New Roman" w:cs="Times New Roman"/>
          <w:sz w:val="24"/>
          <w:szCs w:val="24"/>
        </w:rPr>
      </w:pPr>
    </w:p>
    <w:p w14:paraId="49D4F579" w14:textId="77777777" w:rsidR="000F0680" w:rsidRDefault="000F0680" w:rsidP="00CA5156">
      <w:pPr>
        <w:spacing w:after="0" w:line="480" w:lineRule="auto"/>
        <w:jc w:val="center"/>
        <w:rPr>
          <w:rFonts w:ascii="Times New Roman" w:hAnsi="Times New Roman" w:cs="Times New Roman"/>
          <w:sz w:val="24"/>
          <w:szCs w:val="24"/>
        </w:rPr>
      </w:pPr>
    </w:p>
    <w:p w14:paraId="0C61DD29" w14:textId="77777777" w:rsidR="000F0680" w:rsidRDefault="000F0680" w:rsidP="00CA5156">
      <w:pPr>
        <w:spacing w:after="0" w:line="480" w:lineRule="auto"/>
        <w:jc w:val="center"/>
        <w:rPr>
          <w:rFonts w:ascii="Times New Roman" w:hAnsi="Times New Roman" w:cs="Times New Roman"/>
          <w:sz w:val="24"/>
          <w:szCs w:val="24"/>
        </w:rPr>
      </w:pPr>
    </w:p>
    <w:p w14:paraId="1BFFA8C9" w14:textId="3A1B4B86" w:rsidR="000F0680" w:rsidRDefault="000F0680" w:rsidP="00CA5156">
      <w:pPr>
        <w:spacing w:after="0" w:line="480" w:lineRule="auto"/>
        <w:jc w:val="center"/>
        <w:rPr>
          <w:rFonts w:ascii="Times New Roman" w:hAnsi="Times New Roman" w:cs="Times New Roman"/>
          <w:sz w:val="24"/>
          <w:szCs w:val="24"/>
        </w:rPr>
      </w:pPr>
    </w:p>
    <w:p w14:paraId="442D1F95" w14:textId="77777777" w:rsidR="00FE4527" w:rsidRDefault="00FE4527" w:rsidP="00CA5156">
      <w:pPr>
        <w:spacing w:after="0" w:line="480" w:lineRule="auto"/>
        <w:jc w:val="center"/>
        <w:rPr>
          <w:rFonts w:ascii="Times New Roman" w:hAnsi="Times New Roman" w:cs="Times New Roman"/>
          <w:sz w:val="24"/>
          <w:szCs w:val="24"/>
        </w:rPr>
      </w:pPr>
      <w:bookmarkStart w:id="0" w:name="_GoBack"/>
      <w:bookmarkEnd w:id="0"/>
    </w:p>
    <w:p w14:paraId="4DA646CF" w14:textId="2A9D19ED" w:rsidR="009E03BB" w:rsidRPr="00CA5156" w:rsidRDefault="00B53E3D" w:rsidP="00CA5156">
      <w:pPr>
        <w:spacing w:after="0" w:line="480" w:lineRule="auto"/>
        <w:jc w:val="center"/>
        <w:rPr>
          <w:rFonts w:ascii="Times New Roman" w:hAnsi="Times New Roman" w:cs="Times New Roman"/>
          <w:sz w:val="24"/>
          <w:szCs w:val="24"/>
        </w:rPr>
      </w:pPr>
      <w:r w:rsidRPr="00CA5156">
        <w:rPr>
          <w:rFonts w:ascii="Times New Roman" w:hAnsi="Times New Roman" w:cs="Times New Roman"/>
          <w:sz w:val="24"/>
          <w:szCs w:val="24"/>
        </w:rPr>
        <w:t>Unit</w:t>
      </w:r>
      <w:r w:rsidR="00EA64C5">
        <w:rPr>
          <w:rFonts w:ascii="Times New Roman" w:hAnsi="Times New Roman" w:cs="Times New Roman"/>
          <w:sz w:val="24"/>
          <w:szCs w:val="24"/>
        </w:rPr>
        <w:t xml:space="preserve"> 5</w:t>
      </w:r>
      <w:r w:rsidRPr="00CA5156">
        <w:rPr>
          <w:rFonts w:ascii="Times New Roman" w:hAnsi="Times New Roman" w:cs="Times New Roman"/>
          <w:sz w:val="24"/>
          <w:szCs w:val="24"/>
        </w:rPr>
        <w:t xml:space="preserve"> Assessment</w:t>
      </w:r>
    </w:p>
    <w:p w14:paraId="7EF75BF2" w14:textId="4D48D947" w:rsidR="002A39D9" w:rsidRPr="00CA5156" w:rsidRDefault="00B53E3D" w:rsidP="00CA51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CA5156">
        <w:rPr>
          <w:rFonts w:ascii="Times New Roman" w:hAnsi="Times New Roman" w:cs="Times New Roman"/>
          <w:sz w:val="24"/>
          <w:szCs w:val="24"/>
        </w:rPr>
        <w:t>Name</w:t>
      </w:r>
    </w:p>
    <w:p w14:paraId="41F18526" w14:textId="76726C3C" w:rsidR="009B46D1" w:rsidRPr="00CA5156" w:rsidRDefault="00B53E3D" w:rsidP="00EA64C5">
      <w:pPr>
        <w:spacing w:after="0" w:line="480" w:lineRule="auto"/>
        <w:jc w:val="center"/>
        <w:rPr>
          <w:rFonts w:ascii="Times New Roman" w:hAnsi="Times New Roman" w:cs="Times New Roman"/>
          <w:sz w:val="24"/>
          <w:szCs w:val="24"/>
        </w:rPr>
      </w:pPr>
      <w:r w:rsidRPr="00CA5156">
        <w:rPr>
          <w:rFonts w:ascii="Times New Roman" w:hAnsi="Times New Roman" w:cs="Times New Roman"/>
          <w:sz w:val="24"/>
          <w:szCs w:val="24"/>
        </w:rPr>
        <w:t>Institutional Affiliation</w:t>
      </w:r>
      <w:r w:rsidR="000F0680">
        <w:rPr>
          <w:rFonts w:ascii="Times New Roman" w:hAnsi="Times New Roman" w:cs="Times New Roman"/>
          <w:sz w:val="24"/>
          <w:szCs w:val="24"/>
        </w:rPr>
        <w:t>s</w:t>
      </w:r>
    </w:p>
    <w:p w14:paraId="36F83E38" w14:textId="77777777" w:rsidR="00EA64C5" w:rsidRDefault="00B53E3D" w:rsidP="00CA515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98DE509" w14:textId="418218A5" w:rsidR="009E03BB" w:rsidRPr="00CA5156" w:rsidRDefault="00B53E3D" w:rsidP="00CA5156">
      <w:pPr>
        <w:spacing w:after="0" w:line="480" w:lineRule="auto"/>
        <w:jc w:val="center"/>
        <w:rPr>
          <w:rFonts w:ascii="Times New Roman" w:hAnsi="Times New Roman" w:cs="Times New Roman"/>
          <w:b/>
          <w:sz w:val="24"/>
          <w:szCs w:val="24"/>
        </w:rPr>
      </w:pPr>
      <w:r w:rsidRPr="00CA5156">
        <w:rPr>
          <w:rFonts w:ascii="Times New Roman" w:hAnsi="Times New Roman" w:cs="Times New Roman"/>
          <w:b/>
          <w:sz w:val="24"/>
          <w:szCs w:val="24"/>
        </w:rPr>
        <w:lastRenderedPageBreak/>
        <w:t>Unit 5 Assessment</w:t>
      </w:r>
    </w:p>
    <w:p w14:paraId="03986922" w14:textId="40F5D5AA" w:rsidR="003D18F8" w:rsidRPr="00CA5156" w:rsidRDefault="00B53E3D" w:rsidP="00895B2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1: </w:t>
      </w:r>
      <w:r w:rsidR="00DD026E" w:rsidRPr="00CA5156">
        <w:rPr>
          <w:rFonts w:ascii="Times New Roman" w:hAnsi="Times New Roman" w:cs="Times New Roman"/>
          <w:b/>
          <w:sz w:val="24"/>
          <w:szCs w:val="24"/>
        </w:rPr>
        <w:t>Legal and Regulatory Requirements</w:t>
      </w:r>
    </w:p>
    <w:p w14:paraId="0905EF2F" w14:textId="354E52E7" w:rsidR="00515C17" w:rsidRPr="00CA5156" w:rsidRDefault="00B53E3D" w:rsidP="00CA5156">
      <w:pPr>
        <w:spacing w:after="0" w:line="480" w:lineRule="auto"/>
        <w:ind w:firstLine="720"/>
        <w:rPr>
          <w:rFonts w:ascii="Times New Roman" w:hAnsi="Times New Roman" w:cs="Times New Roman"/>
          <w:sz w:val="24"/>
          <w:szCs w:val="24"/>
        </w:rPr>
      </w:pPr>
      <w:r w:rsidRPr="00CA5156">
        <w:rPr>
          <w:rFonts w:ascii="Times New Roman" w:hAnsi="Times New Roman" w:cs="Times New Roman"/>
          <w:sz w:val="24"/>
          <w:szCs w:val="24"/>
        </w:rPr>
        <w:t xml:space="preserve">One of the legal and regulatory </w:t>
      </w:r>
      <w:r w:rsidR="00BD5527" w:rsidRPr="00CA5156">
        <w:rPr>
          <w:rFonts w:ascii="Times New Roman" w:hAnsi="Times New Roman" w:cs="Times New Roman"/>
          <w:sz w:val="24"/>
          <w:szCs w:val="24"/>
        </w:rPr>
        <w:t>requirements</w:t>
      </w:r>
      <w:r w:rsidRPr="00CA5156">
        <w:rPr>
          <w:rFonts w:ascii="Times New Roman" w:hAnsi="Times New Roman" w:cs="Times New Roman"/>
          <w:sz w:val="24"/>
          <w:szCs w:val="24"/>
        </w:rPr>
        <w:t xml:space="preserve"> mentioned in this unit is risk management. In particular, this legal as well as regulatory requirement is mentioned in terms of information system controls. </w:t>
      </w:r>
      <w:r w:rsidR="00D216FA" w:rsidRPr="00CA5156">
        <w:rPr>
          <w:rFonts w:ascii="Times New Roman" w:hAnsi="Times New Roman" w:cs="Times New Roman"/>
          <w:sz w:val="24"/>
          <w:szCs w:val="24"/>
        </w:rPr>
        <w:t xml:space="preserve">It is important to comprehend that information systems control as well as policies play a vital part in making a firm’s security framework. Notably, there exist general controls, data controls, as well as software controls. For instance, server administrators employ backup servers and databases to ensure that a firm’s information is safe. </w:t>
      </w:r>
      <w:r w:rsidRPr="00CA5156">
        <w:rPr>
          <w:rFonts w:ascii="Times New Roman" w:hAnsi="Times New Roman" w:cs="Times New Roman"/>
          <w:sz w:val="24"/>
          <w:szCs w:val="24"/>
        </w:rPr>
        <w:t xml:space="preserve">Coca-Cola is </w:t>
      </w:r>
      <w:r w:rsidRPr="00CA5156">
        <w:rPr>
          <w:rFonts w:ascii="Times New Roman" w:hAnsi="Times New Roman" w:cs="Times New Roman"/>
          <w:sz w:val="24"/>
          <w:szCs w:val="24"/>
        </w:rPr>
        <w:t>a good example that uses the aforementioned legal and regulatory requirement to ensure that its secrets are safe. In fact, the company has grown internationally; therefore, needs a strong information system controls to handle different factors of their glo</w:t>
      </w:r>
      <w:r w:rsidRPr="00CA5156">
        <w:rPr>
          <w:rFonts w:ascii="Times New Roman" w:hAnsi="Times New Roman" w:cs="Times New Roman"/>
          <w:sz w:val="24"/>
          <w:szCs w:val="24"/>
        </w:rPr>
        <w:t>bal corporation. In particular, the organization decided to integrate strategic enterprise management to offer it with business planning for data warehousing for information collection, business planning for finances, as well as generate financial reports.</w:t>
      </w:r>
      <w:r w:rsidRPr="00CA5156">
        <w:rPr>
          <w:rFonts w:ascii="Times New Roman" w:hAnsi="Times New Roman" w:cs="Times New Roman"/>
          <w:sz w:val="24"/>
          <w:szCs w:val="24"/>
        </w:rPr>
        <w:t xml:space="preserve"> </w:t>
      </w:r>
      <w:r w:rsidR="00D216FA" w:rsidRPr="00CA5156">
        <w:rPr>
          <w:rFonts w:ascii="Times New Roman" w:hAnsi="Times New Roman" w:cs="Times New Roman"/>
          <w:sz w:val="24"/>
          <w:szCs w:val="24"/>
        </w:rPr>
        <w:t xml:space="preserve">It is important to understand that different kinds of information schemes are required for various organizations. In this case, every enterprise has personal requirements as well as needs and finding the right information system control to suit it is paramount in the market. </w:t>
      </w:r>
    </w:p>
    <w:p w14:paraId="43B58988" w14:textId="05207631" w:rsidR="00DD026E" w:rsidRPr="00CA5156" w:rsidRDefault="00B53E3D" w:rsidP="005C5C3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2: </w:t>
      </w:r>
      <w:r w:rsidRPr="00CA5156">
        <w:rPr>
          <w:rFonts w:ascii="Times New Roman" w:hAnsi="Times New Roman" w:cs="Times New Roman"/>
          <w:b/>
          <w:sz w:val="24"/>
          <w:szCs w:val="24"/>
        </w:rPr>
        <w:t>Difference between disaster recovery planning and business continuity planning</w:t>
      </w:r>
    </w:p>
    <w:p w14:paraId="53CD1165" w14:textId="77777777" w:rsidR="00C719FC" w:rsidRDefault="00B53E3D" w:rsidP="00B30A98">
      <w:pPr>
        <w:spacing w:after="0" w:line="480" w:lineRule="auto"/>
        <w:ind w:firstLine="720"/>
        <w:rPr>
          <w:rFonts w:ascii="Times New Roman" w:hAnsi="Times New Roman" w:cs="Times New Roman"/>
          <w:sz w:val="24"/>
          <w:szCs w:val="24"/>
        </w:rPr>
      </w:pPr>
      <w:r w:rsidRPr="00CA5156">
        <w:rPr>
          <w:rFonts w:ascii="Times New Roman" w:hAnsi="Times New Roman" w:cs="Times New Roman"/>
          <w:sz w:val="24"/>
          <w:szCs w:val="24"/>
        </w:rPr>
        <w:t>It is important to note that business continuity and disaster recovery planning are as crucial as business as well as marketing plans. Speci</w:t>
      </w:r>
      <w:r w:rsidRPr="00CA5156">
        <w:rPr>
          <w:rFonts w:ascii="Times New Roman" w:hAnsi="Times New Roman" w:cs="Times New Roman"/>
          <w:sz w:val="24"/>
          <w:szCs w:val="24"/>
        </w:rPr>
        <w:t>fically, disaster recovery plays a vital role in offering detailed strategies on the way a business will go on after numerous business interruptions not forgetting disasters</w:t>
      </w:r>
      <w:r w:rsidR="007C1B16">
        <w:rPr>
          <w:rFonts w:ascii="Times New Roman" w:hAnsi="Times New Roman" w:cs="Times New Roman"/>
          <w:sz w:val="24"/>
          <w:szCs w:val="24"/>
        </w:rPr>
        <w:t xml:space="preserve"> (</w:t>
      </w:r>
      <w:r w:rsidR="007C1B16" w:rsidRPr="007C1B16">
        <w:rPr>
          <w:rFonts w:ascii="Times New Roman" w:hAnsi="Times New Roman" w:cs="Times New Roman"/>
          <w:sz w:val="24"/>
          <w:szCs w:val="24"/>
        </w:rPr>
        <w:t>Smith, 2018)</w:t>
      </w:r>
      <w:r w:rsidRPr="00CA5156">
        <w:rPr>
          <w:rFonts w:ascii="Times New Roman" w:hAnsi="Times New Roman" w:cs="Times New Roman"/>
          <w:sz w:val="24"/>
          <w:szCs w:val="24"/>
        </w:rPr>
        <w:t xml:space="preserve">. Both business continuity and disaster </w:t>
      </w:r>
      <w:r w:rsidRPr="00CA5156">
        <w:rPr>
          <w:rFonts w:ascii="Times New Roman" w:hAnsi="Times New Roman" w:cs="Times New Roman"/>
          <w:sz w:val="24"/>
          <w:szCs w:val="24"/>
        </w:rPr>
        <w:lastRenderedPageBreak/>
        <w:t>recovery plans strive to make</w:t>
      </w:r>
      <w:r w:rsidRPr="00CA5156">
        <w:rPr>
          <w:rFonts w:ascii="Times New Roman" w:hAnsi="Times New Roman" w:cs="Times New Roman"/>
          <w:sz w:val="24"/>
          <w:szCs w:val="24"/>
        </w:rPr>
        <w:t xml:space="preserve"> sure that an organization withstands the disaster with a considerable reopening. </w:t>
      </w:r>
      <w:r w:rsidR="00DC3915" w:rsidRPr="00CA5156">
        <w:rPr>
          <w:rFonts w:ascii="Times New Roman" w:hAnsi="Times New Roman" w:cs="Times New Roman"/>
          <w:sz w:val="24"/>
          <w:szCs w:val="24"/>
        </w:rPr>
        <w:t>With that said, the aforementioned plans differ in different ways.</w:t>
      </w:r>
    </w:p>
    <w:p w14:paraId="477F6F55" w14:textId="1110FD2B" w:rsidR="00CA74EA" w:rsidRPr="00CA5156" w:rsidRDefault="00DC3915" w:rsidP="00B30A98">
      <w:pPr>
        <w:spacing w:after="0" w:line="480" w:lineRule="auto"/>
        <w:ind w:firstLine="720"/>
        <w:rPr>
          <w:rFonts w:ascii="Times New Roman" w:hAnsi="Times New Roman" w:cs="Times New Roman"/>
          <w:sz w:val="24"/>
          <w:szCs w:val="24"/>
        </w:rPr>
      </w:pPr>
      <w:r w:rsidRPr="00CA5156">
        <w:rPr>
          <w:rFonts w:ascii="Times New Roman" w:hAnsi="Times New Roman" w:cs="Times New Roman"/>
          <w:sz w:val="24"/>
          <w:szCs w:val="24"/>
        </w:rPr>
        <w:t>To begin with, a disaster recovery plan plays an integral role in offering comprehensive techniques on the steps that workers must follow during and after a disaster</w:t>
      </w:r>
      <w:r w:rsidR="00064413" w:rsidRPr="00CA5156">
        <w:rPr>
          <w:rFonts w:ascii="Times New Roman" w:hAnsi="Times New Roman" w:cs="Times New Roman"/>
          <w:sz w:val="24"/>
          <w:szCs w:val="24"/>
        </w:rPr>
        <w:t xml:space="preserve"> (Smith, 2018)</w:t>
      </w:r>
      <w:r w:rsidRPr="00CA5156">
        <w:rPr>
          <w:rFonts w:ascii="Times New Roman" w:hAnsi="Times New Roman" w:cs="Times New Roman"/>
          <w:sz w:val="24"/>
          <w:szCs w:val="24"/>
        </w:rPr>
        <w:t>. Specifically, the preceding plan provides exit procedures and highlights communication instructions that make sure that every worker is accounted for as well as in communications with the central hub.</w:t>
      </w:r>
      <w:r w:rsidR="00A87964" w:rsidRPr="00CA5156">
        <w:rPr>
          <w:rFonts w:ascii="Times New Roman" w:hAnsi="Times New Roman" w:cs="Times New Roman"/>
          <w:sz w:val="24"/>
          <w:szCs w:val="24"/>
        </w:rPr>
        <w:t xml:space="preserve"> </w:t>
      </w:r>
      <w:r w:rsidR="00911BDC" w:rsidRPr="00CA5156">
        <w:rPr>
          <w:rFonts w:ascii="Times New Roman" w:hAnsi="Times New Roman" w:cs="Times New Roman"/>
          <w:sz w:val="24"/>
          <w:szCs w:val="24"/>
        </w:rPr>
        <w:t xml:space="preserve">In particular, the business hub consists of flashlights, emergency supplies, and backup business information as well as other items that have been highlighted as crucial to a company and </w:t>
      </w:r>
      <w:r w:rsidR="00931FCB" w:rsidRPr="00CA5156">
        <w:rPr>
          <w:rFonts w:ascii="Times New Roman" w:hAnsi="Times New Roman" w:cs="Times New Roman"/>
          <w:sz w:val="24"/>
          <w:szCs w:val="24"/>
        </w:rPr>
        <w:t>employees’</w:t>
      </w:r>
      <w:r w:rsidR="00911BDC" w:rsidRPr="00CA5156">
        <w:rPr>
          <w:rFonts w:ascii="Times New Roman" w:hAnsi="Times New Roman" w:cs="Times New Roman"/>
          <w:sz w:val="24"/>
          <w:szCs w:val="24"/>
        </w:rPr>
        <w:t xml:space="preserve"> safety. </w:t>
      </w:r>
      <w:r w:rsidR="00C00C25" w:rsidRPr="00CA5156">
        <w:rPr>
          <w:rFonts w:ascii="Times New Roman" w:hAnsi="Times New Roman" w:cs="Times New Roman"/>
          <w:sz w:val="24"/>
          <w:szCs w:val="24"/>
        </w:rPr>
        <w:t>Conversely, a business continuity plan outlines the way a firm will continue operating after the disaster</w:t>
      </w:r>
      <w:r w:rsidR="00A94BC6">
        <w:rPr>
          <w:rFonts w:ascii="Times New Roman" w:hAnsi="Times New Roman" w:cs="Times New Roman"/>
          <w:sz w:val="24"/>
          <w:szCs w:val="24"/>
        </w:rPr>
        <w:t xml:space="preserve"> (</w:t>
      </w:r>
      <w:r w:rsidR="00A94BC6" w:rsidRPr="00A94BC6">
        <w:rPr>
          <w:rFonts w:ascii="Times New Roman" w:hAnsi="Times New Roman" w:cs="Times New Roman"/>
          <w:sz w:val="24"/>
          <w:szCs w:val="24"/>
        </w:rPr>
        <w:t>Smith,</w:t>
      </w:r>
      <w:r w:rsidR="00A94BC6">
        <w:rPr>
          <w:rFonts w:ascii="Times New Roman" w:hAnsi="Times New Roman" w:cs="Times New Roman"/>
          <w:sz w:val="24"/>
          <w:szCs w:val="24"/>
        </w:rPr>
        <w:t xml:space="preserve"> </w:t>
      </w:r>
      <w:r w:rsidR="00A94BC6" w:rsidRPr="00A94BC6">
        <w:rPr>
          <w:rFonts w:ascii="Times New Roman" w:hAnsi="Times New Roman" w:cs="Times New Roman"/>
          <w:sz w:val="24"/>
          <w:szCs w:val="24"/>
        </w:rPr>
        <w:t>2018)</w:t>
      </w:r>
      <w:r w:rsidR="00C00C25" w:rsidRPr="00CA5156">
        <w:rPr>
          <w:rFonts w:ascii="Times New Roman" w:hAnsi="Times New Roman" w:cs="Times New Roman"/>
          <w:sz w:val="24"/>
          <w:szCs w:val="24"/>
        </w:rPr>
        <w:t>. Additionally, the plan highlights the way an organization will continue to operate after small events such as power outages. Lastly, the plan outlines where and how an enterprise will run</w:t>
      </w:r>
      <w:r w:rsidR="00A632BB" w:rsidRPr="00CA5156">
        <w:rPr>
          <w:rFonts w:ascii="Times New Roman" w:hAnsi="Times New Roman" w:cs="Times New Roman"/>
          <w:sz w:val="24"/>
          <w:szCs w:val="24"/>
        </w:rPr>
        <w:t xml:space="preserve"> in case it is focused to move to a temporary location.</w:t>
      </w:r>
      <w:r w:rsidR="0079384F">
        <w:rPr>
          <w:rFonts w:ascii="Times New Roman" w:hAnsi="Times New Roman" w:cs="Times New Roman"/>
          <w:sz w:val="24"/>
          <w:szCs w:val="24"/>
        </w:rPr>
        <w:t xml:space="preserve"> Therefore, organizations need both business recovery planning and business continuity planning.</w:t>
      </w:r>
    </w:p>
    <w:p w14:paraId="78AE2269" w14:textId="77777777" w:rsidR="00B30A98" w:rsidRDefault="00B53E3D" w:rsidP="00CA51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EDEF4BB" w14:textId="40B3CCCE" w:rsidR="00A17A95" w:rsidRPr="00CA5156" w:rsidRDefault="00B53E3D" w:rsidP="00CA51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CA679D">
        <w:rPr>
          <w:rFonts w:ascii="Times New Roman" w:hAnsi="Times New Roman" w:cs="Times New Roman"/>
          <w:sz w:val="24"/>
          <w:szCs w:val="24"/>
        </w:rPr>
        <w:t>s</w:t>
      </w:r>
    </w:p>
    <w:p w14:paraId="501DB458" w14:textId="481A8319" w:rsidR="00DD026E" w:rsidRPr="00CA5156" w:rsidRDefault="00B53E3D" w:rsidP="001F3545">
      <w:pPr>
        <w:spacing w:after="0" w:line="480" w:lineRule="auto"/>
        <w:ind w:left="720" w:hanging="720"/>
        <w:rPr>
          <w:rFonts w:ascii="Times New Roman" w:hAnsi="Times New Roman" w:cs="Times New Roman"/>
          <w:sz w:val="24"/>
          <w:szCs w:val="24"/>
        </w:rPr>
      </w:pPr>
      <w:r w:rsidRPr="00CA5156">
        <w:rPr>
          <w:rFonts w:ascii="Times New Roman" w:hAnsi="Times New Roman" w:cs="Times New Roman"/>
          <w:sz w:val="24"/>
          <w:szCs w:val="24"/>
        </w:rPr>
        <w:t xml:space="preserve">Smith, C. (2018). Disaster recovery plan vs. business continuity plan. </w:t>
      </w:r>
      <w:r w:rsidRPr="00CA5156">
        <w:rPr>
          <w:rFonts w:ascii="Times New Roman" w:hAnsi="Times New Roman" w:cs="Times New Roman"/>
          <w:i/>
          <w:sz w:val="24"/>
          <w:szCs w:val="24"/>
        </w:rPr>
        <w:t>Small Businesses</w:t>
      </w:r>
      <w:r w:rsidRPr="00CA5156">
        <w:rPr>
          <w:rFonts w:ascii="Times New Roman" w:hAnsi="Times New Roman" w:cs="Times New Roman"/>
          <w:sz w:val="24"/>
          <w:szCs w:val="24"/>
        </w:rPr>
        <w:t xml:space="preserve">. Retrieved from </w:t>
      </w:r>
      <w:hyperlink r:id="rId6" w:history="1">
        <w:r w:rsidRPr="00CA5156">
          <w:rPr>
            <w:rStyle w:val="Hyperlink"/>
            <w:rFonts w:ascii="Times New Roman" w:hAnsi="Times New Roman" w:cs="Times New Roman"/>
            <w:color w:val="auto"/>
            <w:sz w:val="24"/>
            <w:szCs w:val="24"/>
          </w:rPr>
          <w:t>https://smallbusiness.chron.com/disaster-recovery-plan-vs-business-continuity-plan-1087.html</w:t>
        </w:r>
      </w:hyperlink>
    </w:p>
    <w:sectPr w:rsidR="00DD026E" w:rsidRPr="00CA5156" w:rsidSect="002A39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0961A4" w14:textId="77777777" w:rsidR="00B53E3D" w:rsidRDefault="00B53E3D">
      <w:pPr>
        <w:spacing w:after="0" w:line="240" w:lineRule="auto"/>
      </w:pPr>
      <w:r>
        <w:separator/>
      </w:r>
    </w:p>
  </w:endnote>
  <w:endnote w:type="continuationSeparator" w:id="0">
    <w:p w14:paraId="07910519" w14:textId="77777777" w:rsidR="00B53E3D" w:rsidRDefault="00B53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D509E" w14:textId="77777777" w:rsidR="00B53E3D" w:rsidRDefault="00B53E3D">
      <w:pPr>
        <w:spacing w:after="0" w:line="240" w:lineRule="auto"/>
      </w:pPr>
      <w:r>
        <w:separator/>
      </w:r>
    </w:p>
  </w:footnote>
  <w:footnote w:type="continuationSeparator" w:id="0">
    <w:p w14:paraId="72F8F630" w14:textId="77777777" w:rsidR="00B53E3D" w:rsidRDefault="00B53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B2747" w14:textId="2516540F" w:rsidR="002A39D9" w:rsidRPr="00EA64C5" w:rsidRDefault="00B53E3D" w:rsidP="002A39D9">
    <w:pPr>
      <w:pStyle w:val="Header"/>
      <w:rPr>
        <w:rFonts w:ascii="Times New Roman" w:hAnsi="Times New Roman" w:cs="Times New Roman"/>
      </w:rPr>
    </w:pPr>
    <w:r w:rsidRPr="00EA64C5">
      <w:rPr>
        <w:rFonts w:ascii="Times New Roman" w:hAnsi="Times New Roman" w:cs="Times New Roman"/>
      </w:rPr>
      <w:t xml:space="preserve">UNIT </w:t>
    </w:r>
    <w:r w:rsidR="00EA64C5" w:rsidRPr="00EA64C5">
      <w:rPr>
        <w:rFonts w:ascii="Times New Roman" w:hAnsi="Times New Roman" w:cs="Times New Roman"/>
      </w:rPr>
      <w:t xml:space="preserve">5 </w:t>
    </w:r>
    <w:r w:rsidRPr="00EA64C5">
      <w:rPr>
        <w:rFonts w:ascii="Times New Roman" w:hAnsi="Times New Roman" w:cs="Times New Roman"/>
      </w:rPr>
      <w:t xml:space="preserve">ASSESSMENT </w:t>
    </w:r>
    <w:sdt>
      <w:sdtPr>
        <w:rPr>
          <w:rFonts w:ascii="Times New Roman" w:hAnsi="Times New Roman" w:cs="Times New Roman"/>
        </w:rPr>
        <w:id w:val="-1860116026"/>
        <w:docPartObj>
          <w:docPartGallery w:val="Page Numbers (Top of Page)"/>
          <w:docPartUnique/>
        </w:docPartObj>
      </w:sdtPr>
      <w:sdtEndPr>
        <w:rPr>
          <w:noProof/>
        </w:rPr>
      </w:sdtEndPr>
      <w:sdtContent>
        <w:r w:rsidRPr="00EA64C5">
          <w:rPr>
            <w:rFonts w:ascii="Times New Roman" w:hAnsi="Times New Roman" w:cs="Times New Roman"/>
          </w:rPr>
          <w:tab/>
        </w:r>
        <w:r w:rsidRPr="00EA64C5">
          <w:rPr>
            <w:rFonts w:ascii="Times New Roman" w:hAnsi="Times New Roman" w:cs="Times New Roman"/>
          </w:rPr>
          <w:tab/>
        </w:r>
        <w:r w:rsidRPr="00EA64C5">
          <w:rPr>
            <w:rFonts w:ascii="Times New Roman" w:hAnsi="Times New Roman" w:cs="Times New Roman"/>
          </w:rPr>
          <w:fldChar w:fldCharType="begin"/>
        </w:r>
        <w:r w:rsidRPr="00EA64C5">
          <w:rPr>
            <w:rFonts w:ascii="Times New Roman" w:hAnsi="Times New Roman" w:cs="Times New Roman"/>
          </w:rPr>
          <w:instrText xml:space="preserve"> PAGE   \* MERGEFORMAT </w:instrText>
        </w:r>
        <w:r w:rsidRPr="00EA64C5">
          <w:rPr>
            <w:rFonts w:ascii="Times New Roman" w:hAnsi="Times New Roman" w:cs="Times New Roman"/>
          </w:rPr>
          <w:fldChar w:fldCharType="separate"/>
        </w:r>
        <w:r w:rsidR="00CA74EA" w:rsidRPr="00EA64C5">
          <w:rPr>
            <w:rFonts w:ascii="Times New Roman" w:hAnsi="Times New Roman" w:cs="Times New Roman"/>
            <w:noProof/>
          </w:rPr>
          <w:t>4</w:t>
        </w:r>
        <w:r w:rsidRPr="00EA64C5">
          <w:rPr>
            <w:rFonts w:ascii="Times New Roman" w:hAnsi="Times New Roman" w:cs="Times New Roman"/>
            <w:noProof/>
          </w:rPr>
          <w:fldChar w:fldCharType="end"/>
        </w:r>
      </w:sdtContent>
    </w:sdt>
  </w:p>
  <w:p w14:paraId="3C7EA257" w14:textId="77777777" w:rsidR="002A39D9" w:rsidRDefault="002A39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9CF41" w14:textId="247F6B31" w:rsidR="002A39D9" w:rsidRPr="00EA64C5" w:rsidRDefault="00B53E3D" w:rsidP="002A39D9">
    <w:pPr>
      <w:pStyle w:val="Header"/>
      <w:rPr>
        <w:rFonts w:ascii="Times New Roman" w:hAnsi="Times New Roman" w:cs="Times New Roman"/>
      </w:rPr>
    </w:pPr>
    <w:r w:rsidRPr="00EA64C5">
      <w:rPr>
        <w:rFonts w:ascii="Times New Roman" w:hAnsi="Times New Roman" w:cs="Times New Roman"/>
      </w:rPr>
      <w:t xml:space="preserve">Running head: UNIT </w:t>
    </w:r>
    <w:r w:rsidR="00EA64C5" w:rsidRPr="00EA64C5">
      <w:rPr>
        <w:rFonts w:ascii="Times New Roman" w:hAnsi="Times New Roman" w:cs="Times New Roman"/>
      </w:rPr>
      <w:t xml:space="preserve">5 </w:t>
    </w:r>
    <w:r w:rsidRPr="00EA64C5">
      <w:rPr>
        <w:rFonts w:ascii="Times New Roman" w:hAnsi="Times New Roman" w:cs="Times New Roman"/>
      </w:rPr>
      <w:t xml:space="preserve">ASSESSMENT </w:t>
    </w:r>
    <w:sdt>
      <w:sdtPr>
        <w:rPr>
          <w:rFonts w:ascii="Times New Roman" w:hAnsi="Times New Roman" w:cs="Times New Roman"/>
        </w:rPr>
        <w:id w:val="-583997563"/>
        <w:docPartObj>
          <w:docPartGallery w:val="Page Numbers (Top of Page)"/>
          <w:docPartUnique/>
        </w:docPartObj>
      </w:sdtPr>
      <w:sdtEndPr>
        <w:rPr>
          <w:noProof/>
        </w:rPr>
      </w:sdtEndPr>
      <w:sdtContent>
        <w:r w:rsidRPr="00EA64C5">
          <w:rPr>
            <w:rFonts w:ascii="Times New Roman" w:hAnsi="Times New Roman" w:cs="Times New Roman"/>
          </w:rPr>
          <w:tab/>
        </w:r>
        <w:r w:rsidRPr="00EA64C5">
          <w:rPr>
            <w:rFonts w:ascii="Times New Roman" w:hAnsi="Times New Roman" w:cs="Times New Roman"/>
          </w:rPr>
          <w:tab/>
        </w:r>
        <w:r w:rsidRPr="00EA64C5">
          <w:rPr>
            <w:rFonts w:ascii="Times New Roman" w:hAnsi="Times New Roman" w:cs="Times New Roman"/>
          </w:rPr>
          <w:fldChar w:fldCharType="begin"/>
        </w:r>
        <w:r w:rsidRPr="00EA64C5">
          <w:rPr>
            <w:rFonts w:ascii="Times New Roman" w:hAnsi="Times New Roman" w:cs="Times New Roman"/>
          </w:rPr>
          <w:instrText xml:space="preserve"> PAGE   \* MERGEFORMAT </w:instrText>
        </w:r>
        <w:r w:rsidRPr="00EA64C5">
          <w:rPr>
            <w:rFonts w:ascii="Times New Roman" w:hAnsi="Times New Roman" w:cs="Times New Roman"/>
          </w:rPr>
          <w:fldChar w:fldCharType="separate"/>
        </w:r>
        <w:r w:rsidR="00CA74EA" w:rsidRPr="00EA64C5">
          <w:rPr>
            <w:rFonts w:ascii="Times New Roman" w:hAnsi="Times New Roman" w:cs="Times New Roman"/>
            <w:noProof/>
          </w:rPr>
          <w:t>1</w:t>
        </w:r>
        <w:r w:rsidRPr="00EA64C5">
          <w:rPr>
            <w:rFonts w:ascii="Times New Roman" w:hAnsi="Times New Roman" w:cs="Times New Roman"/>
            <w:noProof/>
          </w:rPr>
          <w:fldChar w:fldCharType="end"/>
        </w:r>
      </w:sdtContent>
    </w:sdt>
  </w:p>
  <w:p w14:paraId="78E0C5BB" w14:textId="77777777" w:rsidR="002A39D9" w:rsidRDefault="002A39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434"/>
    <w:rsid w:val="000379E5"/>
    <w:rsid w:val="00064413"/>
    <w:rsid w:val="00075AC7"/>
    <w:rsid w:val="00083FF9"/>
    <w:rsid w:val="000963EC"/>
    <w:rsid w:val="000A55BB"/>
    <w:rsid w:val="000F0680"/>
    <w:rsid w:val="00115D8B"/>
    <w:rsid w:val="001F3545"/>
    <w:rsid w:val="00205B39"/>
    <w:rsid w:val="002A39D9"/>
    <w:rsid w:val="002D0391"/>
    <w:rsid w:val="003D18F8"/>
    <w:rsid w:val="0044345A"/>
    <w:rsid w:val="004E4434"/>
    <w:rsid w:val="00515C17"/>
    <w:rsid w:val="00550D2C"/>
    <w:rsid w:val="005C5C34"/>
    <w:rsid w:val="005E425E"/>
    <w:rsid w:val="006704AB"/>
    <w:rsid w:val="006D7A76"/>
    <w:rsid w:val="006E4C1D"/>
    <w:rsid w:val="00736652"/>
    <w:rsid w:val="00764163"/>
    <w:rsid w:val="0079384F"/>
    <w:rsid w:val="007B74C4"/>
    <w:rsid w:val="007C103B"/>
    <w:rsid w:val="007C1B16"/>
    <w:rsid w:val="00895B2E"/>
    <w:rsid w:val="00911BDC"/>
    <w:rsid w:val="00926FB5"/>
    <w:rsid w:val="00931FCB"/>
    <w:rsid w:val="009503F2"/>
    <w:rsid w:val="009B46D1"/>
    <w:rsid w:val="009E03BB"/>
    <w:rsid w:val="009E240C"/>
    <w:rsid w:val="009E57AD"/>
    <w:rsid w:val="009F5D4A"/>
    <w:rsid w:val="00A17A95"/>
    <w:rsid w:val="00A202D3"/>
    <w:rsid w:val="00A24706"/>
    <w:rsid w:val="00A632BB"/>
    <w:rsid w:val="00A87964"/>
    <w:rsid w:val="00A94BC6"/>
    <w:rsid w:val="00B30A98"/>
    <w:rsid w:val="00B53E3D"/>
    <w:rsid w:val="00BD5527"/>
    <w:rsid w:val="00C00C25"/>
    <w:rsid w:val="00C719FC"/>
    <w:rsid w:val="00CA4758"/>
    <w:rsid w:val="00CA5156"/>
    <w:rsid w:val="00CA679D"/>
    <w:rsid w:val="00CA74EA"/>
    <w:rsid w:val="00D216FA"/>
    <w:rsid w:val="00D91C01"/>
    <w:rsid w:val="00DB0719"/>
    <w:rsid w:val="00DC3915"/>
    <w:rsid w:val="00DD026E"/>
    <w:rsid w:val="00E11F74"/>
    <w:rsid w:val="00EA64C5"/>
    <w:rsid w:val="00F66A3D"/>
    <w:rsid w:val="00FE4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58917"/>
  <w15:chartTrackingRefBased/>
  <w15:docId w15:val="{49DF998D-99FF-4E36-87BF-15C8F18C6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A95"/>
    <w:rPr>
      <w:color w:val="0563C1" w:themeColor="hyperlink"/>
      <w:u w:val="single"/>
    </w:rPr>
  </w:style>
  <w:style w:type="paragraph" w:styleId="Header">
    <w:name w:val="header"/>
    <w:basedOn w:val="Normal"/>
    <w:link w:val="HeaderChar"/>
    <w:uiPriority w:val="99"/>
    <w:unhideWhenUsed/>
    <w:rsid w:val="002A3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9D9"/>
  </w:style>
  <w:style w:type="paragraph" w:styleId="Footer">
    <w:name w:val="footer"/>
    <w:basedOn w:val="Normal"/>
    <w:link w:val="FooterChar"/>
    <w:uiPriority w:val="99"/>
    <w:unhideWhenUsed/>
    <w:rsid w:val="002A3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9D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05B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B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mallbusiness.chron.com/disaster-recovery-plan-vs-business-continuity-plan-1087.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24</cp:revision>
  <dcterms:created xsi:type="dcterms:W3CDTF">2018-08-27T16:32:00Z</dcterms:created>
  <dcterms:modified xsi:type="dcterms:W3CDTF">2018-08-27T18:20:00Z</dcterms:modified>
</cp:coreProperties>
</file>